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rFonts w:ascii="Arial" w:hAnsi="Arial"/>
          <w:sz w:val="36"/>
          <w:szCs w:val="36"/>
        </w:rPr>
      </w:pPr>
      <w:r>
        <w:drawing>
          <wp:inline distT="0" distB="0" distL="0" distR="0">
            <wp:extent cx="1295400" cy="1168400"/>
            <wp:effectExtent l="0" t="0" r="0" b="0"/>
            <wp:docPr id="1073741825" name="officeArt object" descr="Liberalerna_blaklintsb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iberalerna_blaklintsbla" descr="Liberalerna_blaklintsbla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rödtext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hAnsi="Arial"/>
          <w:b w:val="1"/>
          <w:bCs w:val="1"/>
          <w:sz w:val="28"/>
          <w:szCs w:val="28"/>
        </w:rPr>
      </w:pP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MOTION</w:t>
      </w:r>
    </w:p>
    <w:p>
      <w:pPr>
        <w:pStyle w:val="Brödtext"/>
      </w:pPr>
    </w:p>
    <w:p>
      <w:pPr>
        <w:pStyle w:val="Brödtext"/>
      </w:pPr>
      <w:r>
        <w:rPr>
          <w:rtl w:val="0"/>
          <w:lang w:val="sv-SE"/>
        </w:rPr>
        <w:t>Till kommunfullm</w:t>
      </w:r>
      <w:r>
        <w:rPr>
          <w:rtl w:val="0"/>
        </w:rPr>
        <w:t>ä</w:t>
      </w:r>
      <w:r>
        <w:rPr>
          <w:rtl w:val="0"/>
        </w:rPr>
        <w:t>ktige</w:t>
      </w:r>
    </w:p>
    <w:p>
      <w:pPr>
        <w:pStyle w:val="Brödtext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rödtext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S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de-DE"/>
        </w:rPr>
        <w:t>dert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</w:rPr>
        <w:t>lje beh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nl-NL"/>
        </w:rPr>
        <w:t>ver en Stadstr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</w:rPr>
        <w:t>dg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8"/>
          <w:szCs w:val="28"/>
          <w:rtl w:val="0"/>
        </w:rPr>
        <w:t>rdsm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stare</w:t>
      </w:r>
    </w:p>
    <w:p>
      <w:pPr>
        <w:pStyle w:val="Brödtext"/>
      </w:pPr>
    </w:p>
    <w:p>
      <w:pPr>
        <w:pStyle w:val="Brödtext"/>
      </w:pPr>
      <w:r>
        <w:rPr>
          <w:rtl w:val="0"/>
          <w:lang w:val="en-US"/>
        </w:rPr>
        <w:t>I m</w:t>
      </w:r>
      <w:r>
        <w:rPr>
          <w:rtl w:val="0"/>
          <w:lang w:val="da-DK"/>
        </w:rPr>
        <w:t>å</w:t>
      </w:r>
      <w:r>
        <w:rPr>
          <w:rtl w:val="0"/>
        </w:rPr>
        <w:t>nga av de dokument som v</w:t>
      </w:r>
      <w:r>
        <w:rPr>
          <w:rtl w:val="0"/>
        </w:rPr>
        <w:t>ä</w:t>
      </w:r>
      <w:r>
        <w:rPr>
          <w:rtl w:val="0"/>
          <w:lang w:val="sv-SE"/>
        </w:rPr>
        <w:t>gleder beslut och ger riktlinjer n</w:t>
      </w:r>
      <w:r>
        <w:rPr>
          <w:rtl w:val="0"/>
        </w:rPr>
        <w:t>ä</w:t>
      </w:r>
      <w:r>
        <w:rPr>
          <w:rtl w:val="0"/>
          <w:lang w:val="da-DK"/>
        </w:rPr>
        <w:t>r det g</w:t>
      </w:r>
      <w:r>
        <w:rPr>
          <w:rtl w:val="0"/>
        </w:rPr>
        <w:t>ä</w:t>
      </w:r>
      <w:r>
        <w:rPr>
          <w:rtl w:val="0"/>
        </w:rPr>
        <w:t>ller 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  <w:lang w:val="sv-SE"/>
        </w:rPr>
        <w:t>ljes utveckling inom olika omr</w:t>
      </w:r>
      <w:r>
        <w:rPr>
          <w:rtl w:val="0"/>
          <w:lang w:val="da-DK"/>
        </w:rPr>
        <w:t>å</w:t>
      </w:r>
      <w:r>
        <w:rPr>
          <w:rtl w:val="0"/>
        </w:rPr>
        <w:t>den st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r begreppet </w:t>
      </w:r>
      <w:r>
        <w:rPr>
          <w:rtl w:val="0"/>
        </w:rPr>
        <w:t>”</w:t>
      </w:r>
      <w:r>
        <w:rPr>
          <w:rtl w:val="0"/>
          <w:lang w:val="sv-SE"/>
        </w:rPr>
        <w:t>attraktiva 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</w:rPr>
        <w:t>lje</w:t>
      </w:r>
      <w:r>
        <w:rPr>
          <w:rtl w:val="0"/>
        </w:rPr>
        <w:t xml:space="preserve">” </w:t>
      </w:r>
      <w:r>
        <w:rPr>
          <w:rtl w:val="0"/>
          <w:lang w:val="sv-SE"/>
        </w:rPr>
        <w:t>angivet. Det finns en dimension av detta som skulle kunna vara en medveten strategi men som saknas. Parker och gr</w:t>
      </w:r>
      <w:r>
        <w:rPr>
          <w:rtl w:val="0"/>
          <w:lang w:val="sv-SE"/>
        </w:rPr>
        <w:t>ö</w:t>
      </w:r>
      <w:r>
        <w:rPr>
          <w:rtl w:val="0"/>
        </w:rPr>
        <w:t>nomr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den kan vara ett omr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de som genom medvetet, 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ngsiktigt och envist arbete kan h</w:t>
      </w:r>
      <w:r>
        <w:rPr>
          <w:rtl w:val="0"/>
          <w:lang w:val="sv-SE"/>
        </w:rPr>
        <w:t>ö</w:t>
      </w:r>
      <w:r>
        <w:rPr>
          <w:rtl w:val="0"/>
        </w:rPr>
        <w:t>ja 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</w:rPr>
        <w:t>ljes attraktivitet avsev</w:t>
      </w:r>
      <w:r>
        <w:rPr>
          <w:rtl w:val="0"/>
        </w:rPr>
        <w:t>ä</w:t>
      </w:r>
      <w:r>
        <w:rPr>
          <w:rtl w:val="0"/>
        </w:rPr>
        <w:t>rt.</w:t>
      </w:r>
    </w:p>
    <w:p>
      <w:pPr>
        <w:pStyle w:val="Brödtext"/>
      </w:pPr>
      <w:r>
        <w:rPr>
          <w:rtl w:val="0"/>
        </w:rPr>
        <w:t>Enk</w:t>
      </w:r>
      <w:r>
        <w:rPr>
          <w:rtl w:val="0"/>
          <w:lang w:val="sv-SE"/>
        </w:rPr>
        <w:t>ö</w:t>
      </w:r>
      <w:r>
        <w:rPr>
          <w:rtl w:val="0"/>
          <w:lang w:val="en-US"/>
        </w:rPr>
        <w:t xml:space="preserve">ping </w:t>
      </w:r>
      <w:r>
        <w:rPr>
          <w:rtl w:val="0"/>
        </w:rPr>
        <w:t>ä</w:t>
      </w:r>
      <w:r>
        <w:rPr>
          <w:rtl w:val="0"/>
          <w:lang w:val="sv-SE"/>
        </w:rPr>
        <w:t>r ett lysande exempel. D</w:t>
      </w:r>
      <w:r>
        <w:rPr>
          <w:rtl w:val="0"/>
        </w:rPr>
        <w:t>ä</w:t>
      </w:r>
      <w:r>
        <w:rPr>
          <w:rtl w:val="0"/>
          <w:lang w:val="sv-SE"/>
        </w:rPr>
        <w:t>r har kommunen, sedan slutet p</w:t>
      </w:r>
      <w:r>
        <w:rPr>
          <w:rtl w:val="0"/>
        </w:rPr>
        <w:t xml:space="preserve">å </w:t>
      </w:r>
      <w:r>
        <w:rPr>
          <w:rtl w:val="0"/>
          <w:lang w:val="sv-SE"/>
        </w:rPr>
        <w:t>1980-talet, satsat p</w:t>
      </w:r>
      <w:r>
        <w:rPr>
          <w:rtl w:val="0"/>
        </w:rPr>
        <w:t xml:space="preserve">å </w:t>
      </w:r>
      <w:r>
        <w:rPr>
          <w:rtl w:val="0"/>
          <w:lang w:val="sv-SE"/>
        </w:rPr>
        <w:t>utveckling av stadens/kommunens parker och gr</w:t>
      </w:r>
      <w:r>
        <w:rPr>
          <w:rtl w:val="0"/>
          <w:lang w:val="sv-SE"/>
        </w:rPr>
        <w:t>ö</w:t>
      </w:r>
      <w:r>
        <w:rPr>
          <w:rtl w:val="0"/>
        </w:rPr>
        <w:t>nomr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den s</w:t>
      </w:r>
      <w:r>
        <w:rPr>
          <w:rtl w:val="0"/>
        </w:rPr>
        <w:t xml:space="preserve">å </w:t>
      </w:r>
      <w:r>
        <w:rPr>
          <w:rtl w:val="0"/>
          <w:lang w:val="sv-SE"/>
        </w:rPr>
        <w:t xml:space="preserve">att de idag </w:t>
      </w:r>
      <w:r>
        <w:rPr>
          <w:rtl w:val="0"/>
        </w:rPr>
        <w:t>ä</w:t>
      </w:r>
      <w:r>
        <w:rPr>
          <w:rtl w:val="0"/>
          <w:lang w:val="da-DK"/>
        </w:rPr>
        <w:t>r en v</w:t>
      </w:r>
      <w:r>
        <w:rPr>
          <w:rtl w:val="0"/>
        </w:rPr>
        <w:t>ä</w:t>
      </w:r>
      <w:r>
        <w:rPr>
          <w:rtl w:val="0"/>
        </w:rPr>
        <w:t>lbes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kt och uppskattad bes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ksmagnet i sig. Det finns sm</w:t>
      </w:r>
      <w:r>
        <w:rPr>
          <w:rtl w:val="0"/>
        </w:rPr>
        <w:t xml:space="preserve">å </w:t>
      </w:r>
      <w:r>
        <w:rPr>
          <w:rtl w:val="0"/>
          <w:lang w:val="sv-SE"/>
        </w:rPr>
        <w:t>parker, det finns stora parker, det finns m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nga olika typer av parker/gr</w:t>
      </w:r>
      <w:r>
        <w:rPr>
          <w:rtl w:val="0"/>
          <w:lang w:val="sv-SE"/>
        </w:rPr>
        <w:t>ö</w:t>
      </w:r>
      <w:r>
        <w:rPr>
          <w:rtl w:val="0"/>
        </w:rPr>
        <w:t xml:space="preserve">nytor. </w:t>
      </w:r>
      <w:r>
        <w:rPr>
          <w:rtl w:val="0"/>
          <w:lang w:val="sv-SE"/>
        </w:rPr>
        <w:t>Ä</w:t>
      </w:r>
      <w:r>
        <w:rPr>
          <w:rtl w:val="0"/>
        </w:rPr>
        <w:t xml:space="preserve">ven rondeller, trafikrefuger, broar </w:t>
      </w:r>
      <w:r>
        <w:rPr>
          <w:rtl w:val="0"/>
        </w:rPr>
        <w:t xml:space="preserve">– </w:t>
      </w:r>
      <w:r>
        <w:rPr>
          <w:rtl w:val="0"/>
          <w:lang w:val="sv-SE"/>
        </w:rPr>
        <w:t xml:space="preserve">alla dessa ofta </w:t>
      </w:r>
      <w:r>
        <w:rPr>
          <w:rtl w:val="0"/>
        </w:rPr>
        <w:t>”ö</w:t>
      </w:r>
      <w:r>
        <w:rPr>
          <w:rtl w:val="0"/>
          <w:lang w:val="sv-SE"/>
        </w:rPr>
        <w:t>verblivna</w:t>
      </w:r>
      <w:r>
        <w:rPr>
          <w:rtl w:val="0"/>
        </w:rPr>
        <w:t xml:space="preserve">” </w:t>
      </w:r>
      <w:r>
        <w:rPr>
          <w:rtl w:val="0"/>
          <w:lang w:val="da-DK"/>
        </w:rPr>
        <w:t>ytor ing</w:t>
      </w:r>
      <w:r>
        <w:rPr>
          <w:rtl w:val="0"/>
          <w:lang w:val="da-DK"/>
        </w:rPr>
        <w:t>å</w:t>
      </w:r>
      <w:r>
        <w:rPr>
          <w:rtl w:val="0"/>
        </w:rPr>
        <w:t xml:space="preserve">r i </w:t>
      </w:r>
      <w:r>
        <w:rPr>
          <w:rtl w:val="0"/>
        </w:rPr>
        <w:t>”</w:t>
      </w:r>
      <w:r>
        <w:rPr>
          <w:rtl w:val="0"/>
        </w:rPr>
        <w:t>gr</w:t>
      </w:r>
      <w:r>
        <w:rPr>
          <w:rtl w:val="0"/>
          <w:lang w:val="sv-SE"/>
        </w:rPr>
        <w:t>ö</w:t>
      </w:r>
      <w:r>
        <w:rPr>
          <w:rtl w:val="0"/>
        </w:rPr>
        <w:t>nyte-strategin</w:t>
      </w:r>
      <w:r>
        <w:rPr>
          <w:rtl w:val="0"/>
        </w:rPr>
        <w:t>”</w:t>
      </w:r>
      <w:r>
        <w:rPr>
          <w:rtl w:val="0"/>
          <w:lang w:val="sv-SE"/>
        </w:rPr>
        <w:t>och blir planterade/dekorerade.</w:t>
      </w:r>
    </w:p>
    <w:p>
      <w:pPr>
        <w:pStyle w:val="Brödtext"/>
      </w:pPr>
      <w:r>
        <w:rPr>
          <w:rtl w:val="0"/>
          <w:lang w:val="sv-SE"/>
        </w:rPr>
        <w:t>Speciella broschyrer ber</w:t>
      </w:r>
      <w:r>
        <w:rPr>
          <w:rtl w:val="0"/>
        </w:rPr>
        <w:t>ä</w:t>
      </w:r>
      <w:r>
        <w:rPr>
          <w:rtl w:val="0"/>
          <w:lang w:val="sv-SE"/>
        </w:rPr>
        <w:t>ttar om parkerna, det finns guidade turer som tar bes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karna runt mellan parkerna, det finns ett litet </w:t>
      </w:r>
      <w:r>
        <w:rPr>
          <w:rtl w:val="0"/>
        </w:rPr>
        <w:t>”</w:t>
      </w:r>
      <w:r>
        <w:rPr>
          <w:rtl w:val="0"/>
          <w:lang w:val="en-US"/>
        </w:rPr>
        <w:t>tuff-tuff</w:t>
      </w:r>
      <w:r>
        <w:rPr>
          <w:rtl w:val="0"/>
        </w:rPr>
        <w:t>”</w:t>
      </w:r>
      <w:r>
        <w:rPr>
          <w:rtl w:val="0"/>
        </w:rPr>
        <w:t>-t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g som intresserade kan 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ka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bese och l</w:t>
      </w:r>
      <w:r>
        <w:rPr>
          <w:rtl w:val="0"/>
        </w:rPr>
        <w:t>ä</w:t>
      </w:r>
      <w:r>
        <w:rPr>
          <w:rtl w:val="0"/>
          <w:lang w:val="sv-SE"/>
        </w:rPr>
        <w:t>ra sig mer om parkerna. Vid varje park finns kartor och v</w:t>
      </w:r>
      <w:r>
        <w:rPr>
          <w:rtl w:val="0"/>
        </w:rPr>
        <w:t>ä</w:t>
      </w:r>
      <w:r>
        <w:rPr>
          <w:rtl w:val="0"/>
        </w:rPr>
        <w:t>xtf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rteckningar som bes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karna kan anv</w:t>
      </w:r>
      <w:r>
        <w:rPr>
          <w:rtl w:val="0"/>
        </w:rPr>
        <w:t>ä</w:t>
      </w:r>
      <w:r>
        <w:rPr>
          <w:rtl w:val="0"/>
          <w:lang w:val="sv-SE"/>
        </w:rPr>
        <w:t>nda som orientering och sedan ta med sig hem som information och inspiration. Vid en fr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ga om syftet med satsningen, kom svaret: </w:t>
      </w:r>
      <w:r>
        <w:rPr>
          <w:rtl w:val="0"/>
        </w:rPr>
        <w:t>”</w:t>
      </w:r>
      <w:r>
        <w:rPr>
          <w:rtl w:val="0"/>
          <w:lang w:val="sv-SE"/>
        </w:rPr>
        <w:t xml:space="preserve">Syftet </w:t>
      </w:r>
      <w:r>
        <w:rPr>
          <w:rtl w:val="0"/>
        </w:rPr>
        <w:t>ä</w:t>
      </w:r>
      <w:r>
        <w:rPr>
          <w:rtl w:val="0"/>
          <w:lang w:val="sv-SE"/>
        </w:rPr>
        <w:t>r att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staden attraktiv f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r bes</w:t>
      </w:r>
      <w:r>
        <w:rPr>
          <w:rtl w:val="0"/>
          <w:lang w:val="sv-SE"/>
        </w:rPr>
        <w:t>ö</w:t>
      </w:r>
      <w:r>
        <w:rPr>
          <w:rtl w:val="0"/>
          <w:lang w:val="nl-NL"/>
        </w:rPr>
        <w:t>kare OCH boende!</w:t>
      </w:r>
      <w:r>
        <w:rPr>
          <w:rtl w:val="0"/>
        </w:rPr>
        <w:t>”</w:t>
      </w:r>
    </w:p>
    <w:p>
      <w:pPr>
        <w:pStyle w:val="Brödtext"/>
      </w:pPr>
      <w:r>
        <w:rPr>
          <w:rtl w:val="0"/>
          <w:lang w:val="sv-SE"/>
        </w:rPr>
        <w:t xml:space="preserve">Liberalerna tror att detta </w:t>
      </w:r>
      <w:r>
        <w:rPr>
          <w:rtl w:val="0"/>
        </w:rPr>
        <w:t>ä</w:t>
      </w:r>
      <w:r>
        <w:rPr>
          <w:rtl w:val="0"/>
        </w:rPr>
        <w:t>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jligt </w:t>
      </w:r>
      <w:r>
        <w:rPr>
          <w:rtl w:val="0"/>
        </w:rPr>
        <w:t>ä</w:t>
      </w:r>
      <w:r>
        <w:rPr>
          <w:rtl w:val="0"/>
        </w:rPr>
        <w:t>ven i 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</w:rPr>
        <w:t>lje. Det kr</w:t>
      </w:r>
      <w:r>
        <w:rPr>
          <w:rtl w:val="0"/>
        </w:rPr>
        <w:t>ä</w:t>
      </w:r>
      <w:r>
        <w:rPr>
          <w:rtl w:val="0"/>
          <w:lang w:val="sv-SE"/>
        </w:rPr>
        <w:t>ver dock att det blir en prioriterad satsning och att den f</w:t>
      </w:r>
      <w:r>
        <w:rPr>
          <w:rtl w:val="0"/>
          <w:lang w:val="da-DK"/>
        </w:rPr>
        <w:t>å</w:t>
      </w:r>
      <w:r>
        <w:rPr>
          <w:rtl w:val="0"/>
        </w:rPr>
        <w:t xml:space="preserve">r </w:t>
      </w:r>
      <w:r>
        <w:rPr>
          <w:rtl w:val="0"/>
        </w:rPr>
        <w:t>”</w:t>
      </w:r>
      <w:r>
        <w:rPr>
          <w:rtl w:val="0"/>
        </w:rPr>
        <w:t>tyngd</w:t>
      </w:r>
      <w:r>
        <w:rPr>
          <w:rtl w:val="0"/>
        </w:rPr>
        <w:t>”</w:t>
      </w:r>
      <w:r>
        <w:rPr>
          <w:rtl w:val="0"/>
        </w:rPr>
        <w:t xml:space="preserve">. </w:t>
      </w:r>
    </w:p>
    <w:p>
      <w:pPr>
        <w:pStyle w:val="Brödtext"/>
      </w:pP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Liberalernas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rslag till beslut</w:t>
      </w:r>
    </w:p>
    <w:p>
      <w:pPr>
        <w:pStyle w:val="Brödtext"/>
        <w:rPr>
          <w:b w:val="1"/>
          <w:bCs w:val="1"/>
        </w:rPr>
      </w:pPr>
    </w:p>
    <w:p>
      <w:pPr>
        <w:pStyle w:val="Brödtext"/>
      </w:pPr>
      <w:r>
        <w:rPr>
          <w:rtl w:val="0"/>
        </w:rPr>
        <w:t>Kommunfullm</w:t>
      </w:r>
      <w:r>
        <w:rPr>
          <w:rtl w:val="0"/>
        </w:rPr>
        <w:t>ä</w:t>
      </w:r>
      <w:r>
        <w:rPr>
          <w:rtl w:val="0"/>
          <w:lang w:val="sv-SE"/>
        </w:rPr>
        <w:t xml:space="preserve">ktige ger </w:t>
      </w:r>
      <w:r>
        <w:rPr>
          <w:rtl w:val="0"/>
          <w:lang w:val="sv-SE"/>
        </w:rPr>
        <w:t>t</w:t>
      </w:r>
      <w:r>
        <w:rPr>
          <w:rtl w:val="0"/>
          <w:lang w:val="sv-SE"/>
        </w:rPr>
        <w:t xml:space="preserve">ekniska </w:t>
      </w:r>
      <w:r>
        <w:rPr>
          <w:rtl w:val="0"/>
          <w:lang w:val="sv-SE"/>
        </w:rPr>
        <w:t>n</w:t>
      </w:r>
      <w:r>
        <w:rPr>
          <w:rtl w:val="0"/>
        </w:rPr>
        <w:t>ä</w:t>
      </w:r>
      <w:r>
        <w:rPr>
          <w:rtl w:val="0"/>
          <w:lang w:val="sv-SE"/>
        </w:rPr>
        <w:t>mnden i uppdrag: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p>
      <w:pPr>
        <w:pStyle w:val="Brödtext"/>
      </w:pPr>
      <w:r>
        <w:rPr>
          <w:b w:val="1"/>
          <w:bCs w:val="1"/>
          <w:rtl w:val="0"/>
          <w:lang w:val="it-IT"/>
        </w:rPr>
        <w:t>att</w:t>
      </w:r>
      <w:r>
        <w:rPr>
          <w:rtl w:val="0"/>
          <w:lang w:val="sv-SE"/>
        </w:rPr>
        <w:t xml:space="preserve"> tills</w:t>
      </w:r>
      <w:r>
        <w:rPr>
          <w:rtl w:val="0"/>
        </w:rPr>
        <w:t>ä</w:t>
      </w:r>
      <w:r>
        <w:rPr>
          <w:rtl w:val="0"/>
          <w:lang w:val="sv-SE"/>
        </w:rPr>
        <w:t>tta en stadstr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  <w:lang w:val="da-DK"/>
        </w:rPr>
        <w:t>å</w:t>
      </w:r>
      <w:r>
        <w:rPr>
          <w:rtl w:val="0"/>
        </w:rPr>
        <w:t>rdsm</w:t>
      </w:r>
      <w:r>
        <w:rPr>
          <w:rtl w:val="0"/>
        </w:rPr>
        <w:t>ä</w:t>
      </w:r>
      <w:r>
        <w:rPr>
          <w:rtl w:val="0"/>
          <w:lang w:val="sv-SE"/>
        </w:rPr>
        <w:t>stare med uppdraget att skapa en 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ngsiktig park- och gr</w:t>
      </w:r>
      <w:r>
        <w:rPr>
          <w:rtl w:val="0"/>
          <w:lang w:val="sv-SE"/>
        </w:rPr>
        <w:t>ö</w:t>
      </w:r>
      <w:r>
        <w:rPr>
          <w:rtl w:val="0"/>
        </w:rPr>
        <w:t>nyte-strategi som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jer attraktionsv</w:t>
      </w:r>
      <w:r>
        <w:rPr>
          <w:rtl w:val="0"/>
        </w:rPr>
        <w:t>ä</w:t>
      </w:r>
      <w:r>
        <w:rPr>
          <w:rtl w:val="0"/>
        </w:rPr>
        <w:t>rdet b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 xml:space="preserve">de i centralorten och i kommunens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vriga t</w:t>
      </w:r>
      <w:r>
        <w:rPr>
          <w:rtl w:val="0"/>
        </w:rPr>
        <w:t>ä</w:t>
      </w:r>
      <w:r>
        <w:rPr>
          <w:rtl w:val="0"/>
        </w:rPr>
        <w:t xml:space="preserve">torter. </w:t>
      </w:r>
    </w:p>
    <w:p>
      <w:pPr>
        <w:pStyle w:val="List Paragraph"/>
        <w:spacing w:after="200" w:line="276" w:lineRule="auto"/>
      </w:pPr>
    </w:p>
    <w:p>
      <w:pPr>
        <w:pStyle w:val="Brödtext"/>
      </w:pPr>
      <w:r>
        <w:rPr>
          <w:rtl w:val="0"/>
        </w:rPr>
        <w:t>S</w:t>
      </w:r>
      <w:r>
        <w:rPr>
          <w:rtl w:val="0"/>
          <w:lang w:val="sv-SE"/>
        </w:rPr>
        <w:t>ö</w:t>
      </w:r>
      <w:r>
        <w:rPr>
          <w:rtl w:val="0"/>
          <w:lang w:val="de-DE"/>
        </w:rPr>
        <w:t>dert</w:t>
      </w:r>
      <w:r>
        <w:rPr>
          <w:rtl w:val="0"/>
        </w:rPr>
        <w:t>ä</w:t>
      </w:r>
      <w:r>
        <w:rPr>
          <w:rtl w:val="0"/>
        </w:rPr>
        <w:t>lje den 2 mars 2020</w:t>
      </w:r>
    </w:p>
    <w:p>
      <w:pPr>
        <w:pStyle w:val="Brödtext"/>
      </w:pPr>
    </w:p>
    <w:p>
      <w:pPr>
        <w:pStyle w:val="Brödtext"/>
      </w:pPr>
    </w:p>
    <w:p>
      <w:pPr>
        <w:pStyle w:val="Brödtext"/>
      </w:pPr>
      <w:r>
        <w:rPr>
          <w:rtl w:val="0"/>
          <w:lang w:val="de-DE"/>
        </w:rPr>
        <w:t>Ann Westerberg (L)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